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r>
    </w:p>
    <w:tbl>
      <w:tblPr>
        <w:tblW w:w="10369" w:type="dxa"/>
        <w:jc w:val="left"/>
        <w:tblInd w:w="-12" w:type="dxa"/>
        <w:tblBorders/>
        <w:tblCellMar>
          <w:top w:w="0" w:type="dxa"/>
          <w:left w:w="108" w:type="dxa"/>
          <w:bottom w:w="0" w:type="dxa"/>
          <w:right w:w="108" w:type="dxa"/>
        </w:tblCellMar>
      </w:tblPr>
      <w:tblGrid>
        <w:gridCol w:w="719"/>
        <w:gridCol w:w="4771"/>
        <w:gridCol w:w="59"/>
        <w:gridCol w:w="4820"/>
      </w:tblGrid>
      <w:tr>
        <w:trPr/>
        <w:tc>
          <w:tcPr>
            <w:tcW w:w="10369" w:type="dxa"/>
            <w:gridSpan w:val="4"/>
            <w:tcBorders/>
            <w:shd w:fill="auto"/>
          </w:tcPr>
          <w:p>
            <w:pPr>
              <w:pStyle w:val="Default"/>
              <w:rPr/>
            </w:pPr>
            <w:r>
              <w:rPr/>
              <w:t>Vedtægter for Tambohus Bylaug – ændringsforslag 2019</w:t>
            </w:r>
          </w:p>
        </w:tc>
      </w:tr>
      <w:tr>
        <w:trPr/>
        <w:tc>
          <w:tcPr>
            <w:tcW w:w="5490" w:type="dxa"/>
            <w:gridSpan w:val="2"/>
            <w:tcBorders/>
            <w:shd w:fill="auto"/>
          </w:tcPr>
          <w:p>
            <w:pPr>
              <w:pStyle w:val="Default"/>
              <w:jc w:val="left"/>
              <w:rPr/>
            </w:pPr>
            <w:r>
              <w:rPr/>
              <w:t>Eksisterende vedtægter</w:t>
            </w:r>
          </w:p>
          <w:p>
            <w:pPr>
              <w:pStyle w:val="Default"/>
              <w:jc w:val="left"/>
              <w:rPr/>
            </w:pPr>
            <w:r>
              <w:rPr/>
            </w:r>
          </w:p>
        </w:tc>
        <w:tc>
          <w:tcPr>
            <w:tcW w:w="4879" w:type="dxa"/>
            <w:gridSpan w:val="2"/>
            <w:tcBorders/>
            <w:shd w:fill="auto"/>
          </w:tcPr>
          <w:p>
            <w:pPr>
              <w:pStyle w:val="Default"/>
              <w:jc w:val="left"/>
              <w:rPr/>
            </w:pPr>
            <w:r>
              <w:rPr/>
              <w:t>Vedtægter efter eventuel ændring.</w:t>
            </w:r>
          </w:p>
        </w:tc>
      </w:tr>
      <w:tr>
        <w:trPr/>
        <w:tc>
          <w:tcPr>
            <w:tcW w:w="10369" w:type="dxa"/>
            <w:gridSpan w:val="4"/>
            <w:tcBorders/>
            <w:shd w:fill="auto"/>
          </w:tcPr>
          <w:p>
            <w:pPr>
              <w:pStyle w:val="Default"/>
              <w:jc w:val="left"/>
              <w:rPr/>
            </w:pPr>
            <w:r>
              <w:rPr/>
            </w:r>
          </w:p>
          <w:p>
            <w:pPr>
              <w:pStyle w:val="Default"/>
              <w:jc w:val="left"/>
              <w:rPr/>
            </w:pPr>
            <w:r>
              <w:rPr/>
            </w:r>
          </w:p>
        </w:tc>
      </w:tr>
      <w:tr>
        <w:trPr/>
        <w:tc>
          <w:tcPr>
            <w:tcW w:w="10369" w:type="dxa"/>
            <w:gridSpan w:val="4"/>
            <w:tcBorders/>
            <w:shd w:fill="auto"/>
          </w:tcPr>
          <w:p>
            <w:pPr>
              <w:pStyle w:val="Default"/>
              <w:jc w:val="left"/>
              <w:rPr/>
            </w:pPr>
            <w:r>
              <w:rPr/>
              <w:t>1: Kontingent</w:t>
            </w:r>
          </w:p>
        </w:tc>
      </w:tr>
      <w:tr>
        <w:trPr/>
        <w:tc>
          <w:tcPr>
            <w:tcW w:w="719" w:type="dxa"/>
            <w:tcBorders/>
            <w:shd w:fill="auto"/>
          </w:tcPr>
          <w:p>
            <w:pPr>
              <w:pStyle w:val="Default"/>
              <w:jc w:val="left"/>
              <w:rPr/>
            </w:pPr>
            <w:r>
              <w:rPr/>
              <w:t>§ 5</w:t>
            </w:r>
          </w:p>
        </w:tc>
        <w:tc>
          <w:tcPr>
            <w:tcW w:w="4830" w:type="dxa"/>
            <w:gridSpan w:val="2"/>
            <w:tcBorders/>
            <w:shd w:fill="auto"/>
          </w:tcPr>
          <w:p>
            <w:pPr>
              <w:pStyle w:val="Default"/>
              <w:jc w:val="left"/>
              <w:rPr/>
            </w:pPr>
            <w:r>
              <w:rPr>
                <w:b w:val="false"/>
                <w:bCs w:val="false"/>
                <w:i/>
              </w:rPr>
              <w:t>Kontingent: Alle husstande, foreninger, institutioner, virksomheder samt enkeltpersoner bidrager til driften af Tambohus Bylaug ved betaling af et kontingent, der hvert år fastsættes af generalforsamlingen. Enkeltpersoner er kontingentfrie, dvs. det er husstanden, der betaler. Kontingentet opkræves årligt ved udsendelse af girokort til eksisterende medlemmer. Nye medlemmer kan optages ved indbetaling af kontingent til Tambohus Bylaugs kasserer. Kassereren fører regnskab over foreningens indtægter og udgifter og fremlægger et revideret regnskab på generalforsamlingen.</w:t>
            </w:r>
          </w:p>
        </w:tc>
        <w:tc>
          <w:tcPr>
            <w:tcW w:w="4820" w:type="dxa"/>
            <w:tcBorders/>
            <w:shd w:fill="auto"/>
          </w:tcPr>
          <w:p>
            <w:pPr>
              <w:pStyle w:val="Default"/>
              <w:jc w:val="left"/>
              <w:rPr/>
            </w:pPr>
            <w:r>
              <w:rPr>
                <w:b w:val="false"/>
                <w:bCs w:val="false"/>
                <w:i/>
              </w:rPr>
              <w:t xml:space="preserve">Kontingent: Alle husstande, foreninger, institutioner, virksomheder samt enkeltpersoner bidrager til driften af Tambohus Bylaug ved betaling af et kontingent, der hvert år fastsættes af generalforsamlingen. Enkeltpersoner er kontingentfrie, dvs. det er husstanden, der betaler. </w:t>
            </w:r>
            <w:r>
              <w:rPr>
                <w:b w:val="false"/>
                <w:bCs w:val="false"/>
                <w:i/>
                <w:color w:val="800000"/>
              </w:rPr>
              <w:t>Kontingentet opkræves årligt ved udsendelse af betalingsinformation til eksisterende medlemmer.</w:t>
            </w:r>
            <w:r>
              <w:rPr>
                <w:b w:val="false"/>
                <w:bCs w:val="false"/>
                <w:i/>
              </w:rPr>
              <w:t xml:space="preserve"> Nye medlemmer kan optages ved indbetaling af kontingent til Tambohus Bylaugs kasserer. Kassereren fører regnskab over foreningens indtægter og udgifter og fremlægger et revideret regnskab på generalforsamlingen.</w:t>
            </w:r>
          </w:p>
          <w:p>
            <w:pPr>
              <w:pStyle w:val="Default"/>
              <w:jc w:val="left"/>
              <w:rPr/>
            </w:pPr>
            <w:r>
              <w:rPr/>
            </w:r>
          </w:p>
          <w:p>
            <w:pPr>
              <w:pStyle w:val="Default"/>
              <w:jc w:val="left"/>
              <w:rPr/>
            </w:pPr>
            <w:r>
              <w:rPr/>
            </w:r>
          </w:p>
        </w:tc>
      </w:tr>
      <w:tr>
        <w:trPr/>
        <w:tc>
          <w:tcPr>
            <w:tcW w:w="10369" w:type="dxa"/>
            <w:gridSpan w:val="4"/>
            <w:tcBorders/>
            <w:shd w:fill="auto"/>
          </w:tcPr>
          <w:p>
            <w:pPr>
              <w:pStyle w:val="Default"/>
              <w:jc w:val="left"/>
              <w:rPr/>
            </w:pPr>
            <w:r>
              <w:rPr/>
              <w:t>2: Generalforsamlingen</w:t>
            </w:r>
          </w:p>
        </w:tc>
      </w:tr>
      <w:tr>
        <w:trPr/>
        <w:tc>
          <w:tcPr>
            <w:tcW w:w="719" w:type="dxa"/>
            <w:tcBorders/>
            <w:shd w:fill="auto"/>
          </w:tcPr>
          <w:p>
            <w:pPr>
              <w:pStyle w:val="Default"/>
              <w:jc w:val="left"/>
              <w:rPr/>
            </w:pPr>
            <w:r>
              <w:rPr/>
              <w:t xml:space="preserve">§6 </w:t>
            </w:r>
          </w:p>
        </w:tc>
        <w:tc>
          <w:tcPr>
            <w:tcW w:w="4830" w:type="dxa"/>
            <w:gridSpan w:val="2"/>
            <w:tcBorders/>
            <w:shd w:fill="auto"/>
          </w:tcPr>
          <w:p>
            <w:pPr>
              <w:pStyle w:val="Default"/>
              <w:jc w:val="left"/>
              <w:rPr/>
            </w:pPr>
            <w:r>
              <w:rPr>
                <w:i/>
                <w:iCs/>
              </w:rPr>
              <w:t xml:space="preserve">Generalforsamling: Generalforsamlingen er Tambohus Bylaugs øverste myndighed. Væsentlige ændringer i miljø og bybillede skal forelægges generalforsamlingen. Generalforsamlingen afholdes hvert år den 1. lørdag i april. Indkaldelse til generalforsamling sker ved husstandsomdelt eller udsendt meddelelse med mindst 4 ugers varsel, via mail til den mailadresse der fremgår af medlemslisten på Bylaugets hjemmeside. Medlemmer uden mailadresse får indkaldelsen pr. brev. Forslag til behandling på generalforsamlingen skal være formanden i hænde senest 14 dage før generalforsamlingen afholdes. På generalforsamlingen vælges ved almindelig flertal 5 bestyrelsesmedlemmer samt en suppleant. Hver person kan udover egen stemme afgive 1 stemme i henhold til skriftlig fuldmagt, der er afleveret umiddelbart forud for generalforsamlingens begyndelse. Denne fuldmagt kan også gives direkte til bestyrelsen. Generalforsamlingen gennemføres efter følgende dagsorden: </w:t>
            </w:r>
          </w:p>
          <w:p>
            <w:pPr>
              <w:pStyle w:val="Default"/>
              <w:jc w:val="left"/>
              <w:rPr/>
            </w:pPr>
            <w:r>
              <w:rPr>
                <w:i/>
                <w:iCs/>
              </w:rPr>
              <w:t xml:space="preserve"> </w:t>
            </w:r>
            <w:r>
              <w:rPr>
                <w:i/>
                <w:iCs/>
              </w:rPr>
              <w:t xml:space="preserve">Valg af dirigent. </w:t>
            </w:r>
          </w:p>
          <w:p>
            <w:pPr>
              <w:pStyle w:val="Default"/>
              <w:jc w:val="left"/>
              <w:rPr/>
            </w:pPr>
            <w:r>
              <w:rPr>
                <w:i/>
                <w:iCs/>
              </w:rPr>
              <w:t xml:space="preserve"> </w:t>
            </w:r>
            <w:r>
              <w:rPr>
                <w:i/>
                <w:iCs/>
              </w:rPr>
              <w:t xml:space="preserve">Bestyrelsens beretning. </w:t>
            </w:r>
          </w:p>
          <w:p>
            <w:pPr>
              <w:pStyle w:val="Default"/>
              <w:jc w:val="left"/>
              <w:rPr/>
            </w:pPr>
            <w:r>
              <w:rPr>
                <w:i/>
                <w:iCs/>
              </w:rPr>
              <w:t xml:space="preserve"> </w:t>
            </w:r>
            <w:r>
              <w:rPr>
                <w:i/>
                <w:iCs/>
              </w:rPr>
              <w:t xml:space="preserve">Nyt fra udvalg, foreninger, institutioner etc.  Regnskabsaflæggelse og fastsættelse af kontingent. </w:t>
            </w:r>
          </w:p>
          <w:p>
            <w:pPr>
              <w:pStyle w:val="Default"/>
              <w:jc w:val="left"/>
              <w:rPr/>
            </w:pPr>
            <w:r>
              <w:rPr>
                <w:i/>
                <w:iCs/>
              </w:rPr>
              <w:t xml:space="preserve"> </w:t>
            </w:r>
            <w:r>
              <w:rPr>
                <w:i/>
                <w:iCs/>
              </w:rPr>
              <w:t xml:space="preserve">Indkomne forslag. </w:t>
            </w:r>
          </w:p>
          <w:p>
            <w:pPr>
              <w:pStyle w:val="Default"/>
              <w:jc w:val="left"/>
              <w:rPr/>
            </w:pPr>
            <w:r>
              <w:rPr>
                <w:i/>
                <w:iCs/>
              </w:rPr>
              <w:t xml:space="preserve"> </w:t>
            </w:r>
            <w:r>
              <w:rPr>
                <w:i/>
                <w:iCs/>
              </w:rPr>
              <w:t xml:space="preserve">Budgetfremlæggelse. </w:t>
            </w:r>
          </w:p>
          <w:p>
            <w:pPr>
              <w:pStyle w:val="Default"/>
              <w:jc w:val="left"/>
              <w:rPr/>
            </w:pPr>
            <w:r>
              <w:rPr>
                <w:i/>
                <w:iCs/>
              </w:rPr>
              <w:t xml:space="preserve"> </w:t>
            </w:r>
            <w:r>
              <w:rPr>
                <w:i/>
                <w:iCs/>
              </w:rPr>
              <w:t xml:space="preserve">Valg af bestyrelse, to på lige år og tre på ulige år samt hvert år en suppleant. </w:t>
            </w:r>
          </w:p>
          <w:p>
            <w:pPr>
              <w:pStyle w:val="Default"/>
              <w:jc w:val="left"/>
              <w:rPr/>
            </w:pPr>
            <w:r>
              <w:rPr>
                <w:i/>
                <w:iCs/>
              </w:rPr>
              <w:t xml:space="preserve"> </w:t>
            </w:r>
            <w:r>
              <w:rPr>
                <w:i/>
                <w:iCs/>
              </w:rPr>
              <w:t xml:space="preserve">Valg af revisor. </w:t>
            </w:r>
          </w:p>
          <w:p>
            <w:pPr>
              <w:pStyle w:val="Default"/>
              <w:jc w:val="left"/>
              <w:rPr/>
            </w:pPr>
            <w:r>
              <w:rPr>
                <w:i/>
                <w:iCs/>
              </w:rPr>
              <w:t xml:space="preserve"> </w:t>
            </w:r>
            <w:r>
              <w:rPr>
                <w:i/>
                <w:iCs/>
              </w:rPr>
              <w:t xml:space="preserve">Andre sager. </w:t>
            </w:r>
          </w:p>
          <w:p>
            <w:pPr>
              <w:pStyle w:val="Default"/>
              <w:jc w:val="left"/>
              <w:rPr/>
            </w:pPr>
            <w:r>
              <w:rPr>
                <w:i/>
                <w:iCs/>
              </w:rPr>
              <w:t xml:space="preserve">Ekstraordinær generalforsamling kan indkaldes af et flertal i bestyrelsen eller 10 medlemmer. Ekstraordinær generalforsamling indkaldes på samme måde og med samme varsel som ordinær generalforsamling. </w:t>
            </w:r>
          </w:p>
          <w:p>
            <w:pPr>
              <w:pStyle w:val="Default"/>
              <w:jc w:val="left"/>
              <w:rPr>
                <w:i/>
                <w:i/>
                <w:iCs/>
              </w:rPr>
            </w:pPr>
            <w:r>
              <w:rPr>
                <w:i/>
                <w:iCs/>
              </w:rPr>
            </w:r>
          </w:p>
          <w:p>
            <w:pPr>
              <w:pStyle w:val="Default"/>
              <w:jc w:val="left"/>
              <w:rPr>
                <w:i/>
                <w:i/>
                <w:iCs/>
              </w:rPr>
            </w:pPr>
            <w:r>
              <w:rPr>
                <w:i/>
                <w:iCs/>
              </w:rPr>
            </w:r>
          </w:p>
        </w:tc>
        <w:tc>
          <w:tcPr>
            <w:tcW w:w="4820" w:type="dxa"/>
            <w:tcBorders/>
            <w:shd w:fill="auto"/>
          </w:tcPr>
          <w:p>
            <w:pPr>
              <w:pStyle w:val="Default"/>
              <w:jc w:val="left"/>
              <w:rPr/>
            </w:pPr>
            <w:r>
              <w:rPr>
                <w:i/>
                <w:iCs/>
              </w:rPr>
              <w:t xml:space="preserve">Generalforsamling: Generalforsamlingen er Tambohus Bylaugs øverste myndighed. Væsentlige ændringer i miljø og bybillede skal forelægges generalforsamlingen. </w:t>
            </w:r>
            <w:r>
              <w:rPr>
                <w:i/>
                <w:iCs/>
                <w:color w:val="800000"/>
              </w:rPr>
              <w:t xml:space="preserve">Generalforsamlingen rammesætter de i $3 nævnte aktiviteter og strukturen for gennemførsel af disse. </w:t>
            </w:r>
            <w:r>
              <w:rPr>
                <w:i/>
                <w:iCs/>
              </w:rPr>
              <w:t xml:space="preserve">Generalforsamlingen afholdes hvert år den 1. lørdag i april. Indkaldelse til generalforsamling sker ved husstandsomdelt eller udsendt meddelelse med mindst 4 ugers varsel, via mail til den mailadresse der fremgår af medlemslisten på Bylaugets hjemmeside.  Forslag til behandling på generalforsamlingen skal være formanden i hænde senest 14 dage før generalforsamlingen afholdes. På generalforsamlingen vælges ved almindelig flertal 5 bestyrelsesmedlemmer samt en suppleant. Hver person kan udover egen stemme afgive 1 stemme i henhold til skriftlig fuldmagt, der er afleveret umiddelbart forud for generalforsamlingens begyndelse. Denne fuldmagt kan også gives direkte til bestyrelsen. Generalforsamlingen gennemføres efter følgende dagsorden: </w:t>
            </w:r>
          </w:p>
          <w:p>
            <w:pPr>
              <w:pStyle w:val="Default"/>
              <w:jc w:val="left"/>
              <w:rPr/>
            </w:pPr>
            <w:r>
              <w:rPr>
                <w:i/>
                <w:iCs/>
              </w:rPr>
              <w:t xml:space="preserve"> </w:t>
            </w:r>
            <w:r>
              <w:rPr>
                <w:i/>
                <w:iCs/>
              </w:rPr>
              <w:t xml:space="preserve">Valg af dirigent. </w:t>
            </w:r>
          </w:p>
          <w:p>
            <w:pPr>
              <w:pStyle w:val="Default"/>
              <w:jc w:val="left"/>
              <w:rPr/>
            </w:pPr>
            <w:r>
              <w:rPr>
                <w:i/>
                <w:iCs/>
              </w:rPr>
              <w:t xml:space="preserve"> </w:t>
            </w:r>
            <w:r>
              <w:rPr>
                <w:i/>
                <w:iCs/>
              </w:rPr>
              <w:t xml:space="preserve">Bestyrelsens beretning. </w:t>
            </w:r>
          </w:p>
          <w:p>
            <w:pPr>
              <w:pStyle w:val="Default"/>
              <w:jc w:val="left"/>
              <w:rPr/>
            </w:pPr>
            <w:r>
              <w:rPr>
                <w:i/>
                <w:iCs/>
              </w:rPr>
              <w:t xml:space="preserve"> </w:t>
            </w:r>
            <w:r>
              <w:rPr>
                <w:i/>
                <w:iCs/>
              </w:rPr>
              <w:t xml:space="preserve">Nyt fra udvalg, foreninger, institutioner etc.  </w:t>
            </w:r>
            <w:r>
              <w:rPr>
                <w:i/>
                <w:iCs/>
                <w:color w:val="800000"/>
              </w:rPr>
              <w:t>Regnskabsaflæggelse, budgetfremlæggelse og fastsættelse af kontingent.</w:t>
            </w:r>
            <w:r>
              <w:rPr>
                <w:i/>
                <w:iCs/>
              </w:rPr>
              <w:t xml:space="preserve"> </w:t>
            </w:r>
          </w:p>
          <w:p>
            <w:pPr>
              <w:pStyle w:val="Default"/>
              <w:jc w:val="left"/>
              <w:rPr/>
            </w:pPr>
            <w:r>
              <w:rPr>
                <w:i/>
                <w:iCs/>
              </w:rPr>
              <w:t xml:space="preserve"> </w:t>
            </w:r>
            <w:r>
              <w:rPr>
                <w:i/>
                <w:iCs/>
              </w:rPr>
              <w:t xml:space="preserve">Indkomne forslag. </w:t>
            </w:r>
          </w:p>
          <w:p>
            <w:pPr>
              <w:pStyle w:val="Default"/>
              <w:jc w:val="left"/>
              <w:rPr/>
            </w:pPr>
            <w:r>
              <w:rPr>
                <w:i/>
                <w:iCs/>
              </w:rPr>
              <w:t xml:space="preserve"> </w:t>
            </w:r>
            <w:r>
              <w:rPr>
                <w:i/>
                <w:iCs/>
              </w:rPr>
              <w:t xml:space="preserve">Valg af bestyrelse, to på lige år og tre på ulige år samt hvert år en suppleant. </w:t>
            </w:r>
          </w:p>
          <w:p>
            <w:pPr>
              <w:pStyle w:val="Default"/>
              <w:jc w:val="left"/>
              <w:rPr/>
            </w:pPr>
            <w:r>
              <w:rPr>
                <w:i/>
                <w:iCs/>
              </w:rPr>
              <w:t xml:space="preserve"> </w:t>
            </w:r>
            <w:r>
              <w:rPr>
                <w:i/>
                <w:iCs/>
              </w:rPr>
              <w:t xml:space="preserve">Valg af revisor. </w:t>
            </w:r>
          </w:p>
          <w:p>
            <w:pPr>
              <w:pStyle w:val="Default"/>
              <w:jc w:val="left"/>
              <w:rPr/>
            </w:pPr>
            <w:bookmarkStart w:id="0" w:name="__DdeLink__3009_2057146211"/>
            <w:r>
              <w:rPr>
                <w:i/>
                <w:iCs/>
              </w:rPr>
              <w:t xml:space="preserve"> </w:t>
            </w:r>
            <w:bookmarkEnd w:id="0"/>
            <w:r>
              <w:rPr>
                <w:i/>
                <w:iCs/>
              </w:rPr>
              <w:t xml:space="preserve">Andre sager. </w:t>
            </w:r>
          </w:p>
          <w:p>
            <w:pPr>
              <w:pStyle w:val="Default"/>
              <w:jc w:val="left"/>
              <w:rPr>
                <w:color w:val="800000"/>
              </w:rPr>
            </w:pPr>
            <w:r>
              <w:rPr>
                <w:i/>
                <w:iCs/>
                <w:color w:val="800000"/>
              </w:rPr>
              <w:t xml:space="preserve"> </w:t>
            </w:r>
            <w:r>
              <w:rPr>
                <w:i/>
                <w:iCs/>
                <w:color w:val="800000"/>
              </w:rPr>
              <w:t>Eventuelt.</w:t>
            </w:r>
          </w:p>
          <w:p>
            <w:pPr>
              <w:pStyle w:val="Default"/>
              <w:jc w:val="left"/>
              <w:rPr/>
            </w:pPr>
            <w:r>
              <w:rPr>
                <w:i/>
                <w:iCs/>
              </w:rPr>
              <w:t xml:space="preserve">Ekstraordinær generalforsamling kan indkaldes af et flertal i bestyrelsen eller 10 medlemmer. Ekstraordinær generalforsamling indkaldes på samme måde og med samme varsel som ordinær generalforsamling. </w:t>
            </w:r>
          </w:p>
          <w:p>
            <w:pPr>
              <w:pStyle w:val="Default"/>
              <w:jc w:val="left"/>
              <w:rPr>
                <w:i/>
                <w:i/>
                <w:iCs/>
              </w:rPr>
            </w:pPr>
            <w:r>
              <w:rPr>
                <w:i/>
                <w:iCs/>
              </w:rPr>
            </w:r>
          </w:p>
          <w:p>
            <w:pPr>
              <w:pStyle w:val="Default"/>
              <w:jc w:val="left"/>
              <w:rPr>
                <w:i/>
                <w:i/>
                <w:iCs/>
              </w:rPr>
            </w:pPr>
            <w:r>
              <w:rPr>
                <w:i/>
                <w:iCs/>
              </w:rPr>
            </w:r>
          </w:p>
          <w:p>
            <w:pPr>
              <w:pStyle w:val="Default"/>
              <w:jc w:val="left"/>
              <w:rPr>
                <w:i/>
                <w:i/>
                <w:iCs/>
              </w:rPr>
            </w:pPr>
            <w:r>
              <w:rPr>
                <w:i/>
                <w:iCs/>
              </w:rPr>
            </w:r>
          </w:p>
        </w:tc>
      </w:tr>
      <w:tr>
        <w:trPr/>
        <w:tc>
          <w:tcPr>
            <w:tcW w:w="10369" w:type="dxa"/>
            <w:gridSpan w:val="4"/>
            <w:tcBorders/>
            <w:shd w:fill="auto"/>
          </w:tcPr>
          <w:p>
            <w:pPr>
              <w:pStyle w:val="Default"/>
              <w:jc w:val="left"/>
              <w:rPr/>
            </w:pPr>
            <w:r>
              <w:rPr/>
              <w:t>3: Bestyrelsen</w:t>
            </w:r>
          </w:p>
        </w:tc>
      </w:tr>
      <w:tr>
        <w:trPr>
          <w:trHeight w:val="3798" w:hRule="atLeast"/>
        </w:trPr>
        <w:tc>
          <w:tcPr>
            <w:tcW w:w="719" w:type="dxa"/>
            <w:tcBorders/>
            <w:shd w:fill="auto"/>
          </w:tcPr>
          <w:p>
            <w:pPr>
              <w:pStyle w:val="Default"/>
              <w:jc w:val="left"/>
              <w:rPr/>
            </w:pPr>
            <w:r>
              <w:rPr/>
              <w:t>§7</w:t>
            </w:r>
          </w:p>
        </w:tc>
        <w:tc>
          <w:tcPr>
            <w:tcW w:w="4830" w:type="dxa"/>
            <w:gridSpan w:val="2"/>
            <w:tcBorders/>
            <w:shd w:fill="auto"/>
          </w:tcPr>
          <w:p>
            <w:pPr>
              <w:pStyle w:val="Default"/>
              <w:jc w:val="left"/>
              <w:rPr>
                <w:i/>
                <w:i/>
                <w:iCs/>
              </w:rPr>
            </w:pPr>
            <w:r>
              <w:rPr>
                <w:i/>
                <w:iCs/>
              </w:rPr>
              <w:t xml:space="preserve">Bestyrelsen: Bestyrelsen konstituerer sig selv med valg af formand, næstformand og kasserer. Tambohus Bylaug tegnes af foreningens formand og kasserer i fællesskab. Økonomiske transaktioner kan kun gennemføres med begges underskrift. Medlemmer af bestyrelse oppebærer ikke løn eller vederlag. Udgifter kan refunderes efter regning. Beslutninger i bestyrelsen kræver simpelt flertal. Valgbare er alle medlemmer, dog kan der højest være to ikke fastboende med i bestyrelsen, og minimum en skal være sommerhusbeboer. </w:t>
            </w:r>
          </w:p>
          <w:p>
            <w:pPr>
              <w:pStyle w:val="Default"/>
              <w:jc w:val="left"/>
              <w:rPr>
                <w:i/>
                <w:i/>
                <w:iCs/>
              </w:rPr>
            </w:pPr>
            <w:r>
              <w:rPr>
                <w:i/>
                <w:iCs/>
              </w:rPr>
            </w:r>
          </w:p>
          <w:p>
            <w:pPr>
              <w:pStyle w:val="Default"/>
              <w:jc w:val="left"/>
              <w:rPr>
                <w:i/>
                <w:i/>
                <w:iCs/>
              </w:rPr>
            </w:pPr>
            <w:r>
              <w:rPr>
                <w:i/>
                <w:iCs/>
              </w:rPr>
            </w:r>
          </w:p>
        </w:tc>
        <w:tc>
          <w:tcPr>
            <w:tcW w:w="4820" w:type="dxa"/>
            <w:tcBorders/>
            <w:shd w:fill="auto"/>
          </w:tcPr>
          <w:p>
            <w:pPr>
              <w:pStyle w:val="Default"/>
              <w:jc w:val="left"/>
              <w:rPr>
                <w:i/>
                <w:i/>
                <w:iCs/>
              </w:rPr>
            </w:pPr>
            <w:r>
              <w:rPr>
                <w:i/>
                <w:iCs/>
              </w:rPr>
              <w:t xml:space="preserve">Bestyrelsen: Bestyrelsen konstituerer sig selv med </w:t>
            </w:r>
            <w:r>
              <w:rPr>
                <w:i/>
                <w:iCs/>
                <w:color w:val="800000"/>
              </w:rPr>
              <w:t>som minimum</w:t>
            </w:r>
            <w:r>
              <w:rPr>
                <w:i/>
                <w:iCs/>
              </w:rPr>
              <w:t xml:space="preserve"> valg af formand, næstformand og kasserer. Tambohus Bylaug tegnes af foreningens formand og kasserer i fællesskab. Økonomiske transaktioner kan kun gennemføres med begges underskrift. Medlemmer af bestyrelse oppebærer ikke løn eller vederlag. Udgifter kan refunderes efter regning. Beslutninger i bestyrelsen kræver simpelt flertal. Valgbare er alle medlemmer. </w:t>
            </w:r>
          </w:p>
        </w:tc>
      </w:tr>
      <w:tr>
        <w:trPr/>
        <w:tc>
          <w:tcPr>
            <w:tcW w:w="10369" w:type="dxa"/>
            <w:gridSpan w:val="4"/>
            <w:tcBorders/>
            <w:shd w:fill="auto"/>
          </w:tcPr>
          <w:p>
            <w:pPr>
              <w:pStyle w:val="Default"/>
              <w:jc w:val="left"/>
              <w:rPr/>
            </w:pPr>
            <w:r>
              <w:rPr/>
              <w:t>4: Bestyrelsens styrelse</w:t>
            </w:r>
          </w:p>
        </w:tc>
      </w:tr>
      <w:tr>
        <w:trPr/>
        <w:tc>
          <w:tcPr>
            <w:tcW w:w="719" w:type="dxa"/>
            <w:tcBorders/>
            <w:shd w:fill="auto"/>
          </w:tcPr>
          <w:p>
            <w:pPr>
              <w:pStyle w:val="Default"/>
              <w:jc w:val="left"/>
              <w:rPr/>
            </w:pPr>
            <w:r>
              <w:rPr/>
              <w:t>§8</w:t>
            </w:r>
          </w:p>
        </w:tc>
        <w:tc>
          <w:tcPr>
            <w:tcW w:w="4830" w:type="dxa"/>
            <w:gridSpan w:val="2"/>
            <w:tcBorders/>
            <w:shd w:fill="auto"/>
          </w:tcPr>
          <w:p>
            <w:pPr>
              <w:pStyle w:val="Default"/>
              <w:jc w:val="left"/>
              <w:rPr>
                <w:i/>
                <w:i/>
                <w:iCs/>
              </w:rPr>
            </w:pPr>
            <w:r>
              <w:rPr>
                <w:i/>
                <w:iCs/>
              </w:rPr>
              <w:t>Bestyrelsesmøder: Bestyrelsesmøder gennemføres efter behov dog mindst 3 om året. Formanden forestår indkaldelse. Der udfærdiges et referat, der skal godkendes ved det efterfølgende møde.</w:t>
            </w:r>
          </w:p>
          <w:p>
            <w:pPr>
              <w:pStyle w:val="Default"/>
              <w:jc w:val="left"/>
              <w:rPr>
                <w:i/>
                <w:i/>
                <w:iCs/>
              </w:rPr>
            </w:pPr>
            <w:r>
              <w:rPr>
                <w:i/>
                <w:iCs/>
              </w:rPr>
            </w:r>
          </w:p>
          <w:p>
            <w:pPr>
              <w:pStyle w:val="Default"/>
              <w:jc w:val="left"/>
              <w:rPr>
                <w:i/>
                <w:i/>
                <w:iCs/>
              </w:rPr>
            </w:pPr>
            <w:r>
              <w:rPr>
                <w:i/>
                <w:iCs/>
              </w:rPr>
            </w:r>
          </w:p>
          <w:p>
            <w:pPr>
              <w:pStyle w:val="Default"/>
              <w:jc w:val="left"/>
              <w:rPr>
                <w:i/>
                <w:i/>
                <w:iCs/>
              </w:rPr>
            </w:pPr>
            <w:r>
              <w:rPr>
                <w:i/>
                <w:iCs/>
              </w:rPr>
            </w:r>
          </w:p>
          <w:p>
            <w:pPr>
              <w:pStyle w:val="Default"/>
              <w:jc w:val="left"/>
              <w:rPr>
                <w:i/>
                <w:i/>
                <w:iCs/>
              </w:rPr>
            </w:pPr>
            <w:r>
              <w:rPr>
                <w:i/>
                <w:iCs/>
              </w:rPr>
            </w:r>
          </w:p>
        </w:tc>
        <w:tc>
          <w:tcPr>
            <w:tcW w:w="4820" w:type="dxa"/>
            <w:tcBorders/>
            <w:shd w:fill="auto"/>
          </w:tcPr>
          <w:p>
            <w:pPr>
              <w:pStyle w:val="Default"/>
              <w:jc w:val="left"/>
              <w:rPr>
                <w:i/>
                <w:i/>
                <w:iCs/>
              </w:rPr>
            </w:pPr>
            <w:r>
              <w:rPr>
                <w:i/>
                <w:iCs/>
              </w:rPr>
              <w:t>Bestyrelsens styrelse:</w:t>
            </w:r>
          </w:p>
          <w:p>
            <w:pPr>
              <w:pStyle w:val="Default"/>
              <w:jc w:val="left"/>
              <w:rPr>
                <w:i/>
                <w:i/>
                <w:iCs/>
              </w:rPr>
            </w:pPr>
            <w:r>
              <w:rPr>
                <w:i/>
                <w:iCs/>
              </w:rPr>
              <w:t xml:space="preserve">Bestyrelsen afholder møder efter behov. </w:t>
            </w:r>
            <w:r>
              <w:rPr>
                <w:i/>
                <w:iCs/>
                <w:color w:val="800000"/>
              </w:rPr>
              <w:t>Bestyrelsen fastlægger sin egen forretningsorden.</w:t>
            </w:r>
            <w:r>
              <w:rPr>
                <w:i/>
                <w:iCs/>
              </w:rPr>
              <w:t xml:space="preserve"> </w:t>
            </w:r>
            <w:r>
              <w:rPr>
                <w:i/>
                <w:iCs/>
                <w:color w:val="800000"/>
              </w:rPr>
              <w:t>Bestyrelsen sikrer, at referater fra møder bliver tilgængelige på hjemmesiden.</w:t>
            </w:r>
          </w:p>
        </w:tc>
      </w:tr>
    </w:tbl>
    <w:p>
      <w:pPr>
        <w:pStyle w:val="Default"/>
        <w:rPr/>
      </w:pPr>
      <w:r>
        <w:rPr/>
      </w:r>
    </w:p>
    <w:p>
      <w:pPr>
        <w:pStyle w:val="Default"/>
        <w:rPr/>
      </w:pPr>
      <w:r>
        <w:rPr/>
        <w:t>Ad 1) Bestyrelsen er i forbindelse med revision af regnskab 2017 blevet gjort opmærksom på at opkrævningspraksis ikke var i overensstemmelse med vedtægterne. Der er derfor tale om en opdatering, der tilgodeser, at opkrævning kan foretages gennem almindelig mail.</w:t>
      </w:r>
    </w:p>
    <w:p>
      <w:pPr>
        <w:pStyle w:val="Default"/>
        <w:rPr/>
      </w:pPr>
      <w:r>
        <w:rPr/>
      </w:r>
    </w:p>
    <w:p>
      <w:pPr>
        <w:pStyle w:val="Default"/>
        <w:rPr/>
      </w:pPr>
      <w:r>
        <w:rPr/>
        <w:t>Ad 2) Bestyrelsen er i forbindelse med afvikling af sidste års generalforsamling blevet gjort opmærksom på at bemyndigelsen i §3 tilfalder generalforsamlingen. Der er derfor tale om en konsekvensrettelse, der flugter med den praksis der i øvrigt har været. Derudover indebærer forslaget en mindre kosmetisk rettelse i instruksen til generalforsamlingens dagsorden.</w:t>
      </w:r>
    </w:p>
    <w:p>
      <w:pPr>
        <w:pStyle w:val="Default"/>
        <w:rPr/>
      </w:pPr>
      <w:r>
        <w:rPr/>
      </w:r>
    </w:p>
    <w:p>
      <w:pPr>
        <w:pStyle w:val="Default"/>
        <w:rPr/>
      </w:pPr>
      <w:r>
        <w:rPr/>
        <w:t>Ad 3) Bestyrelsen er opmærksom på at generalforsamlingens mulighed for at stille en bestyrelse er betydeligt begrænset af nuværende $7's bestemmelse af kvoter. Bestyrelsen ønsker med forslaget at lade generalforsamlingen have muligheden for at sammensætte en bestyrelse uden hensyntagen til kvoter.</w:t>
      </w:r>
    </w:p>
    <w:p>
      <w:pPr>
        <w:pStyle w:val="Default"/>
        <w:rPr/>
      </w:pPr>
      <w:r>
        <w:rPr/>
      </w:r>
    </w:p>
    <w:p>
      <w:pPr>
        <w:pStyle w:val="Default"/>
        <w:rPr/>
      </w:pPr>
      <w:r>
        <w:rPr/>
        <w:t xml:space="preserve">Ad 4) Bestyrelsen ønsker med forslaget at bringe bestyrelsens styrelse ind i rammer, der tilgodeser en fleksibilitet, hvor møderne afholdes fordi, der er noget at holde møde om, og ikke fordi vedtægten dikterer et minimumsantal. </w:t>
      </w:r>
    </w:p>
    <w:sectPr>
      <w:type w:val="nextPage"/>
      <w:pgSz w:w="11906" w:h="16838"/>
      <w:pgMar w:left="720" w:right="720" w:header="0" w:top="720" w:footer="0" w:bottom="7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Cs w:val="24"/>
        <w:lang w:val="da-DK"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Arial" w:cs="Arial"/>
      <w:color w:val="00000A"/>
      <w:sz w:val="24"/>
      <w:szCs w:val="24"/>
      <w:lang w:val="da-DK" w:eastAsia="zh-CN" w:bidi="hi-IN"/>
    </w:rPr>
  </w:style>
  <w:style w:type="paragraph" w:styleId="Overskrift1">
    <w:name w:val="Overskrift 1"/>
    <w:basedOn w:val="Overskrift"/>
    <w:pPr/>
    <w:rPr/>
  </w:style>
  <w:style w:type="paragraph" w:styleId="Overskrift2">
    <w:name w:val="Overskrift 2"/>
    <w:basedOn w:val="Overskrift"/>
    <w:pPr/>
    <w:rPr/>
  </w:style>
  <w:style w:type="paragraph" w:styleId="Overskrift3">
    <w:name w:val="Overskrift 3"/>
    <w:basedOn w:val="Overskrift"/>
    <w:pPr/>
    <w:rPr/>
  </w:style>
  <w:style w:type="character" w:styleId="DefaultParagraphFont">
    <w:name w:val="Default Paragraph Font"/>
    <w:qFormat/>
    <w:rPr/>
  </w:style>
  <w:style w:type="character" w:styleId="Nummereringstegn">
    <w:name w:val="Nummereringstegn"/>
    <w:qFormat/>
    <w:rPr/>
  </w:style>
  <w:style w:type="paragraph" w:styleId="Overskrift">
    <w:name w:val="Overskrift"/>
    <w:next w:val="Brdtekst"/>
    <w:qFormat/>
    <w:pPr>
      <w:keepNext/>
      <w:widowControl w:val="false"/>
      <w:suppressAutoHyphens w:val="true"/>
      <w:spacing w:before="240" w:after="120"/>
    </w:pPr>
    <w:rPr>
      <w:rFonts w:ascii="Arial" w:hAnsi="Arial" w:eastAsia="Arial" w:cs="Tahoma"/>
      <w:color w:val="auto"/>
      <w:sz w:val="28"/>
      <w:szCs w:val="28"/>
      <w:lang w:val="da-DK" w:eastAsia="zh-CN" w:bidi="hi-IN"/>
    </w:rPr>
  </w:style>
  <w:style w:type="paragraph" w:styleId="Brdtekst">
    <w:name w:val="Brødtekst"/>
    <w:basedOn w:val="Normal"/>
    <w:pPr>
      <w:spacing w:lineRule="auto" w:line="288" w:before="0" w:after="140"/>
    </w:pPr>
    <w:rPr/>
  </w:style>
  <w:style w:type="paragraph" w:styleId="Liste">
    <w:name w:val="Liste"/>
    <w:pPr>
      <w:widowControl w:val="false"/>
      <w:suppressAutoHyphens w:val="true"/>
    </w:pPr>
    <w:rPr>
      <w:rFonts w:cs="Tahoma" w:ascii="Times New Roman" w:hAnsi="Times New Roman" w:eastAsia="Arial"/>
      <w:color w:val="auto"/>
      <w:sz w:val="24"/>
      <w:szCs w:val="24"/>
      <w:lang w:val="da-DK" w:eastAsia="zh-CN" w:bidi="hi-IN"/>
    </w:rPr>
  </w:style>
  <w:style w:type="paragraph" w:styleId="Billedtekst">
    <w:name w:val="Billedtekst"/>
    <w:pPr>
      <w:widowControl w:val="false"/>
      <w:suppressLineNumbers/>
      <w:suppressAutoHyphens w:val="true"/>
      <w:spacing w:before="120" w:after="120"/>
    </w:pPr>
    <w:rPr>
      <w:rFonts w:cs="Tahoma" w:ascii="Times New Roman" w:hAnsi="Times New Roman" w:eastAsia="Arial"/>
      <w:i/>
      <w:iCs/>
      <w:color w:val="auto"/>
      <w:sz w:val="24"/>
      <w:szCs w:val="24"/>
      <w:lang w:val="da-DK" w:eastAsia="zh-CN" w:bidi="hi-IN"/>
    </w:rPr>
  </w:style>
  <w:style w:type="paragraph" w:styleId="Indeks">
    <w:name w:val="Indeks"/>
    <w:qFormat/>
    <w:pPr>
      <w:widowControl w:val="false"/>
      <w:suppressLineNumbers/>
      <w:suppressAutoHyphens w:val="true"/>
    </w:pPr>
    <w:rPr>
      <w:rFonts w:cs="Tahoma" w:ascii="Times New Roman" w:hAnsi="Times New Roman" w:eastAsia="Arial"/>
      <w:color w:val="auto"/>
      <w:sz w:val="24"/>
      <w:szCs w:val="24"/>
      <w:lang w:val="da-DK" w:eastAsia="zh-CN" w:bidi="hi-IN"/>
    </w:rPr>
  </w:style>
  <w:style w:type="paragraph" w:styleId="Default">
    <w:name w:val="Default"/>
    <w:qFormat/>
    <w:pPr>
      <w:widowControl/>
      <w:tabs>
        <w:tab w:val="left" w:pos="1304" w:leader="none"/>
      </w:tabs>
      <w:suppressAutoHyphens w:val="true"/>
      <w:bidi w:val="0"/>
      <w:spacing w:lineRule="atLeast" w:line="200" w:before="0" w:after="0"/>
      <w:jc w:val="left"/>
    </w:pPr>
    <w:rPr>
      <w:rFonts w:ascii="Times New Roman" w:hAnsi="Times New Roman" w:eastAsia="Arial" w:cs="Tahoma"/>
      <w:color w:val="00000A"/>
      <w:sz w:val="24"/>
      <w:szCs w:val="24"/>
      <w:lang w:val="en" w:eastAsia="en-US" w:bidi="en-US"/>
    </w:rPr>
  </w:style>
  <w:style w:type="paragraph" w:styleId="Textbody">
    <w:name w:val="Text body"/>
    <w:basedOn w:val="Default"/>
    <w:qFormat/>
    <w:pPr>
      <w:spacing w:before="0" w:after="120"/>
    </w:pPr>
    <w:rPr/>
  </w:style>
  <w:style w:type="paragraph" w:styleId="Citater">
    <w:name w:val="Citater"/>
    <w:basedOn w:val="Normal"/>
    <w:qFormat/>
    <w:pPr/>
    <w:rPr/>
  </w:style>
  <w:style w:type="paragraph" w:styleId="Titel">
    <w:name w:val="Titel"/>
    <w:basedOn w:val="Overskrift"/>
    <w:pPr/>
    <w:rPr/>
  </w:style>
  <w:style w:type="paragraph" w:styleId="Undertitel">
    <w:name w:val="Undertitel"/>
    <w:basedOn w:val="Overskri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NeoOffice/2017.15$MacOSX_X86_64 NeoOffice_project/0</Application>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2014-08-04T19:18:00Z</dcterms:created>
  <dc:creator>skaanning</dc:creator>
  <dc:language>da-DK</dc:language>
  <cp:lastPrinted>2014-07-30T05:41:00Z</cp:lastPrinted>
  <dcterms:modified xsi:type="dcterms:W3CDTF">2019-02-27T18:34:19Z</dcterms:modified>
  <cp:revision>4</cp:revision>
</cp:coreProperties>
</file>